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CF6BAE" w14:paraId="1F7FF7D0"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420D79F" w14:textId="77777777" w:rsidR="00731E02" w:rsidRPr="00CF6BAE" w:rsidRDefault="00731E02" w:rsidP="0076668E">
            <w:pPr>
              <w:spacing w:line="360" w:lineRule="auto"/>
              <w:jc w:val="center"/>
              <w:rPr>
                <w:rFonts w:cs="Arial"/>
                <w:b/>
                <w:sz w:val="48"/>
                <w:szCs w:val="48"/>
              </w:rPr>
            </w:pPr>
            <w:r w:rsidRPr="00CF6BAE">
              <w:rPr>
                <w:b/>
                <w:sz w:val="48"/>
              </w:rPr>
              <w:t>Annex 4 to the contract</w:t>
            </w:r>
          </w:p>
          <w:p w14:paraId="6AFCC334" w14:textId="77777777" w:rsidR="0005479E" w:rsidRPr="00CF6BAE" w:rsidRDefault="00731E02" w:rsidP="000201F5">
            <w:pPr>
              <w:tabs>
                <w:tab w:val="left" w:pos="5670"/>
              </w:tabs>
              <w:jc w:val="center"/>
              <w:rPr>
                <w:rFonts w:cs="Arial"/>
                <w:b/>
              </w:rPr>
            </w:pPr>
            <w:r w:rsidRPr="00CF6BAE">
              <w:rPr>
                <w:b/>
              </w:rPr>
              <w:t>according to DE-UZ 217a</w:t>
            </w:r>
            <w:r w:rsidRPr="00CF6BAE">
              <w:rPr>
                <w:b/>
              </w:rPr>
              <w:br/>
            </w:r>
            <w:r w:rsidRPr="00CF6BAE">
              <w:rPr>
                <w:b/>
              </w:rPr>
              <w:br/>
              <w:t xml:space="preserve">THIS ANNEX IS FOR: Applicants as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14:paraId="7DD996ED" w14:textId="77777777" w:rsidR="00731E02" w:rsidRPr="00CF6BAE" w:rsidRDefault="00731E02" w:rsidP="00A774C8">
            <w:pPr>
              <w:tabs>
                <w:tab w:val="left" w:pos="5670"/>
              </w:tabs>
              <w:spacing w:before="120" w:line="360" w:lineRule="auto"/>
              <w:ind w:left="74" w:right="74"/>
              <w:jc w:val="center"/>
              <w:rPr>
                <w:rFonts w:cs="Arial"/>
              </w:rPr>
            </w:pPr>
            <w:r w:rsidRPr="00CF6BAE">
              <w:rPr>
                <w:b/>
              </w:rPr>
              <w:t>Please only use this form!</w:t>
            </w:r>
          </w:p>
        </w:tc>
      </w:tr>
    </w:tbl>
    <w:p w14:paraId="0B52A7D4" w14:textId="77777777" w:rsidR="00155DF6" w:rsidRPr="00CF6BAE" w:rsidRDefault="00155DF6" w:rsidP="004B0A6E">
      <w:pPr>
        <w:pStyle w:val="VGTitel"/>
        <w:rPr>
          <w:rFonts w:cs="Arial"/>
          <w:color w:val="auto"/>
          <w:sz w:val="22"/>
          <w:szCs w:val="22"/>
        </w:rPr>
      </w:pPr>
    </w:p>
    <w:p w14:paraId="29E93330" w14:textId="77777777" w:rsidR="00D55629" w:rsidRPr="00CF6BAE" w:rsidRDefault="00D55629" w:rsidP="004B0A6E">
      <w:pPr>
        <w:pStyle w:val="VGTitel"/>
        <w:rPr>
          <w:rFonts w:cs="Arial"/>
          <w:color w:val="auto"/>
          <w:sz w:val="22"/>
          <w:szCs w:val="22"/>
        </w:rPr>
      </w:pPr>
    </w:p>
    <w:p w14:paraId="2A04CB3C" w14:textId="71D01B5E" w:rsidR="00D55629" w:rsidRPr="00CF6BAE" w:rsidRDefault="00731E02" w:rsidP="004B0A6E">
      <w:pPr>
        <w:pStyle w:val="VGTitel"/>
        <w:rPr>
          <w:color w:val="auto"/>
          <w:sz w:val="22"/>
          <w:szCs w:val="22"/>
        </w:rPr>
      </w:pPr>
      <w:r w:rsidRPr="00CF6BAE">
        <w:rPr>
          <w:color w:val="auto"/>
          <w:sz w:val="22"/>
        </w:rPr>
        <w:t xml:space="preserve">Environmental label for “Paper made from 100% recovered paper </w:t>
      </w:r>
    </w:p>
    <w:p w14:paraId="7CFD2B81" w14:textId="02A90A82" w:rsidR="004B0A6E" w:rsidRPr="00CF6BAE" w:rsidRDefault="004B0A6E" w:rsidP="004B0A6E">
      <w:pPr>
        <w:pStyle w:val="VGTitel"/>
        <w:rPr>
          <w:sz w:val="22"/>
          <w:szCs w:val="22"/>
        </w:rPr>
      </w:pPr>
      <w:r w:rsidRPr="00CF6BAE">
        <w:rPr>
          <w:color w:val="auto"/>
          <w:sz w:val="22"/>
        </w:rPr>
        <w:t xml:space="preserve">for paper bags and </w:t>
      </w:r>
      <w:proofErr w:type="gramStart"/>
      <w:r w:rsidRPr="00CF6BAE">
        <w:rPr>
          <w:color w:val="auto"/>
          <w:sz w:val="22"/>
        </w:rPr>
        <w:t>boxes“</w:t>
      </w:r>
      <w:proofErr w:type="gramEnd"/>
    </w:p>
    <w:p w14:paraId="177AFC9C" w14:textId="48B421E4" w:rsidR="008400AA" w:rsidRPr="00CF6BAE" w:rsidRDefault="008400AA" w:rsidP="00731E02">
      <w:pPr>
        <w:tabs>
          <w:tab w:val="left" w:pos="5670"/>
        </w:tabs>
        <w:rPr>
          <w:rFonts w:cs="Arial"/>
          <w:b/>
        </w:rPr>
      </w:pPr>
    </w:p>
    <w:p w14:paraId="149BC2A1" w14:textId="77777777" w:rsidR="00155DF6" w:rsidRPr="00CF6BAE" w:rsidRDefault="00155DF6" w:rsidP="00731E02">
      <w:pPr>
        <w:tabs>
          <w:tab w:val="left" w:pos="5670"/>
        </w:tabs>
        <w:rPr>
          <w:rFonts w:cs="Arial"/>
          <w:b/>
        </w:rPr>
      </w:pPr>
    </w:p>
    <w:p w14:paraId="368668F0" w14:textId="77777777" w:rsidR="00647A76" w:rsidRPr="00CF6BAE" w:rsidRDefault="00647A76" w:rsidP="00731E02">
      <w:pPr>
        <w:tabs>
          <w:tab w:val="left" w:pos="5670"/>
        </w:tabs>
        <w:rPr>
          <w:rFonts w:cs="Arial"/>
          <w:b/>
        </w:rPr>
      </w:pPr>
    </w:p>
    <w:p w14:paraId="53CD364D" w14:textId="77777777" w:rsidR="00D55629" w:rsidRPr="00CF6BAE" w:rsidRDefault="00D55629" w:rsidP="004B0A6E">
      <w:pPr>
        <w:spacing w:after="240"/>
      </w:pPr>
    </w:p>
    <w:p w14:paraId="5D749FD8" w14:textId="2B7FD07C" w:rsidR="004B0A6E" w:rsidRPr="00CF6BAE" w:rsidRDefault="004B0A6E" w:rsidP="004B0A6E">
      <w:pPr>
        <w:spacing w:after="240"/>
      </w:pPr>
      <w:r w:rsidRPr="00CF6BAE">
        <w:t>Table 3-2 Maximum limits for the average annual emission parameters (waste water) in the paper production process (</w:t>
      </w:r>
      <w:r w:rsidR="00782721">
        <w:t>not</w:t>
      </w:r>
      <w:r w:rsidRPr="00CF6BAE">
        <w:t xml:space="preserve"> valid for the production of special papers)</w:t>
      </w:r>
    </w:p>
    <w:p w14:paraId="253A0A57" w14:textId="781CE941" w:rsidR="00D55629" w:rsidRPr="00CF6BAE" w:rsidRDefault="00D55629" w:rsidP="004B0A6E">
      <w:pPr>
        <w:spacing w:after="240"/>
      </w:pPr>
      <w:r w:rsidRPr="00CF6BAE">
        <w:t xml:space="preserve">Please tick the box if appropriate </w:t>
      </w:r>
      <w:r w:rsidRPr="00CF6BAE">
        <w:rPr>
          <w:u w:val="single"/>
        </w:rPr>
        <w:t>and</w:t>
      </w:r>
      <w:r w:rsidRPr="00CF6BAE">
        <w:t xml:space="preserve"> complete the table:</w:t>
      </w:r>
    </w:p>
    <w:p w14:paraId="082D50B0" w14:textId="77777777" w:rsidR="00D55629" w:rsidRPr="00CF6BAE" w:rsidRDefault="00D55629" w:rsidP="004B0A6E">
      <w:pPr>
        <w:spacing w:after="240"/>
      </w:pPr>
    </w:p>
    <w:p w14:paraId="5E250772" w14:textId="369A3A0F" w:rsidR="00B74030" w:rsidRPr="00CF6BAE" w:rsidRDefault="00782721" w:rsidP="004B0A6E">
      <w:pPr>
        <w:spacing w:after="240"/>
        <w:rPr>
          <w:b/>
          <w:u w:val="single"/>
        </w:rPr>
      </w:pPr>
      <w:sdt>
        <w:sdtPr>
          <w:rPr>
            <w:b/>
          </w:rPr>
          <w:id w:val="-388965872"/>
          <w14:checkbox>
            <w14:checked w14:val="0"/>
            <w14:checkedState w14:val="2612" w14:font="MS Gothic"/>
            <w14:uncheckedState w14:val="2610" w14:font="MS Gothic"/>
          </w14:checkbox>
        </w:sdtPr>
        <w:sdtEndPr/>
        <w:sdtContent>
          <w:r w:rsidR="00D55629" w:rsidRPr="00CF6BAE">
            <w:rPr>
              <w:rFonts w:ascii="MS Gothic" w:eastAsia="MS Gothic" w:hAnsi="MS Gothic"/>
              <w:b/>
            </w:rPr>
            <w:t>☐</w:t>
          </w:r>
        </w:sdtContent>
      </w:sdt>
      <w:r w:rsidR="00F86352" w:rsidRPr="00CF6BAE">
        <w:rPr>
          <w:b/>
        </w:rPr>
        <w:t xml:space="preserve"> </w:t>
      </w:r>
      <w:r w:rsidR="00F86352" w:rsidRPr="00CF6BAE">
        <w:rPr>
          <w:b/>
          <w:u w:val="single"/>
        </w:rPr>
        <w:t>PAPER FACTORY WITH DEINKING:</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3522"/>
        <w:gridCol w:w="3544"/>
      </w:tblGrid>
      <w:tr w:rsidR="00B74030" w:rsidRPr="00CF6BAE" w14:paraId="5D8EF80F" w14:textId="77777777" w:rsidTr="00B74030">
        <w:tc>
          <w:tcPr>
            <w:tcW w:w="1935" w:type="dxa"/>
          </w:tcPr>
          <w:p w14:paraId="4D9B826B" w14:textId="77777777" w:rsidR="00B74030" w:rsidRPr="00CF6BAE" w:rsidRDefault="00B74030" w:rsidP="00393EE6">
            <w:r w:rsidRPr="00CF6BAE">
              <w:t>Parameter</w:t>
            </w:r>
          </w:p>
        </w:tc>
        <w:tc>
          <w:tcPr>
            <w:tcW w:w="3522" w:type="dxa"/>
          </w:tcPr>
          <w:p w14:paraId="61E73330" w14:textId="77777777" w:rsidR="00B74030" w:rsidRPr="00CF6BAE" w:rsidRDefault="00B74030" w:rsidP="00B74030">
            <w:pPr>
              <w:jc w:val="center"/>
            </w:pPr>
            <w:r w:rsidRPr="00CF6BAE">
              <w:t xml:space="preserve">Maximum limit for waste water emissions </w:t>
            </w:r>
          </w:p>
          <w:p w14:paraId="7DA39CFD" w14:textId="77777777" w:rsidR="00B74030" w:rsidRPr="00CF6BAE" w:rsidRDefault="00B74030" w:rsidP="00B74030">
            <w:pPr>
              <w:jc w:val="center"/>
            </w:pPr>
            <w:r w:rsidRPr="00CF6BAE">
              <w:t>(average annual value as a load or concentration)</w:t>
            </w:r>
          </w:p>
        </w:tc>
        <w:tc>
          <w:tcPr>
            <w:tcW w:w="3544" w:type="dxa"/>
          </w:tcPr>
          <w:p w14:paraId="08CA8CFA" w14:textId="786C9884" w:rsidR="00B74030" w:rsidRPr="00CF6BAE" w:rsidRDefault="00BA27AD" w:rsidP="00393EE6">
            <w:pPr>
              <w:jc w:val="center"/>
            </w:pPr>
            <w:r w:rsidRPr="00CF6BAE">
              <w:t>Measured ACTUAL VALUE</w:t>
            </w:r>
            <w:r w:rsidRPr="00CF6BAE">
              <w:br/>
              <w:t>(please also state the units)</w:t>
            </w:r>
          </w:p>
        </w:tc>
      </w:tr>
      <w:tr w:rsidR="00B74030" w:rsidRPr="00CF6BAE" w14:paraId="41C74CC9" w14:textId="77777777" w:rsidTr="00B74030">
        <w:tc>
          <w:tcPr>
            <w:tcW w:w="1935" w:type="dxa"/>
          </w:tcPr>
          <w:p w14:paraId="5B26F124" w14:textId="77777777" w:rsidR="00B74030" w:rsidRPr="00CF6BAE" w:rsidRDefault="00B74030" w:rsidP="00393EE6">
            <w:r w:rsidRPr="00CF6BAE">
              <w:t>Volumetric flow rate of waste water</w:t>
            </w:r>
          </w:p>
        </w:tc>
        <w:tc>
          <w:tcPr>
            <w:tcW w:w="3522" w:type="dxa"/>
          </w:tcPr>
          <w:p w14:paraId="7FFDC851" w14:textId="77777777" w:rsidR="00B74030" w:rsidRPr="00CF6BAE" w:rsidRDefault="00B74030" w:rsidP="00393EE6">
            <w:pPr>
              <w:jc w:val="center"/>
            </w:pPr>
            <w:r w:rsidRPr="00CF6BAE">
              <w:t>&lt;15 m</w:t>
            </w:r>
            <w:r w:rsidRPr="00CF6BAE">
              <w:rPr>
                <w:vertAlign w:val="superscript"/>
              </w:rPr>
              <w:t>3</w:t>
            </w:r>
            <w:r w:rsidRPr="00CF6BAE">
              <w:t>/Adt</w:t>
            </w:r>
          </w:p>
        </w:tc>
        <w:tc>
          <w:tcPr>
            <w:tcW w:w="3544" w:type="dxa"/>
          </w:tcPr>
          <w:p w14:paraId="45FACE40" w14:textId="77777777" w:rsidR="00B74030" w:rsidRPr="00CF6BAE" w:rsidRDefault="00B74030" w:rsidP="00393EE6">
            <w:pPr>
              <w:jc w:val="center"/>
            </w:pPr>
          </w:p>
        </w:tc>
      </w:tr>
      <w:tr w:rsidR="00B74030" w:rsidRPr="00CF6BAE" w14:paraId="0FBF8986" w14:textId="77777777" w:rsidTr="00B74030">
        <w:tc>
          <w:tcPr>
            <w:tcW w:w="1935" w:type="dxa"/>
          </w:tcPr>
          <w:p w14:paraId="15D98534" w14:textId="77777777" w:rsidR="00B74030" w:rsidRPr="00CF6BAE" w:rsidRDefault="00B74030" w:rsidP="00393EE6">
            <w:r w:rsidRPr="00CF6BAE">
              <w:t>COD</w:t>
            </w:r>
          </w:p>
        </w:tc>
        <w:tc>
          <w:tcPr>
            <w:tcW w:w="3522" w:type="dxa"/>
          </w:tcPr>
          <w:p w14:paraId="54D7C89F" w14:textId="77777777" w:rsidR="00B74030" w:rsidRPr="00CF6BAE" w:rsidRDefault="00B74030" w:rsidP="00393EE6">
            <w:pPr>
              <w:jc w:val="center"/>
            </w:pPr>
            <w:r w:rsidRPr="00CF6BAE">
              <w:t>&lt; 3 kg/Adt</w:t>
            </w:r>
          </w:p>
        </w:tc>
        <w:tc>
          <w:tcPr>
            <w:tcW w:w="3544" w:type="dxa"/>
          </w:tcPr>
          <w:p w14:paraId="75386675" w14:textId="77777777" w:rsidR="00B74030" w:rsidRPr="00CF6BAE" w:rsidRDefault="00B74030" w:rsidP="00393EE6">
            <w:pPr>
              <w:jc w:val="center"/>
            </w:pPr>
          </w:p>
        </w:tc>
      </w:tr>
      <w:tr w:rsidR="00B74030" w:rsidRPr="00CF6BAE" w14:paraId="2F396ABA" w14:textId="77777777" w:rsidTr="00B74030">
        <w:tc>
          <w:tcPr>
            <w:tcW w:w="1935" w:type="dxa"/>
          </w:tcPr>
          <w:p w14:paraId="420B8643" w14:textId="77777777" w:rsidR="00B74030" w:rsidRPr="00CF6BAE" w:rsidRDefault="00B74030" w:rsidP="00393EE6">
            <w:r w:rsidRPr="00CF6BAE">
              <w:t>BSB</w:t>
            </w:r>
            <w:r w:rsidRPr="00CF6BAE">
              <w:rPr>
                <w:vertAlign w:val="subscript"/>
              </w:rPr>
              <w:t>5</w:t>
            </w:r>
          </w:p>
        </w:tc>
        <w:tc>
          <w:tcPr>
            <w:tcW w:w="3522" w:type="dxa"/>
          </w:tcPr>
          <w:p w14:paraId="4F2A951A" w14:textId="77777777" w:rsidR="00B74030" w:rsidRPr="00CF6BAE" w:rsidRDefault="00B74030" w:rsidP="00B74030">
            <w:r w:rsidRPr="00CF6BAE">
              <w:t>&lt; 0.15 kg/Adt or &lt;25 mg/l</w:t>
            </w:r>
          </w:p>
        </w:tc>
        <w:tc>
          <w:tcPr>
            <w:tcW w:w="3544" w:type="dxa"/>
          </w:tcPr>
          <w:p w14:paraId="2FA6DB57" w14:textId="77777777" w:rsidR="00B74030" w:rsidRPr="00CF6BAE" w:rsidRDefault="00B74030" w:rsidP="00B74030"/>
        </w:tc>
      </w:tr>
      <w:tr w:rsidR="00B74030" w:rsidRPr="00CF6BAE" w14:paraId="57CFF4C3" w14:textId="77777777" w:rsidTr="00B74030">
        <w:tc>
          <w:tcPr>
            <w:tcW w:w="1935" w:type="dxa"/>
          </w:tcPr>
          <w:p w14:paraId="48C03E68" w14:textId="77777777" w:rsidR="00B74030" w:rsidRPr="00CF6BAE" w:rsidRDefault="00B74030" w:rsidP="00393EE6">
            <w:r w:rsidRPr="00CF6BAE">
              <w:t>AOX</w:t>
            </w:r>
          </w:p>
        </w:tc>
        <w:tc>
          <w:tcPr>
            <w:tcW w:w="3522" w:type="dxa"/>
          </w:tcPr>
          <w:p w14:paraId="1226F7A5" w14:textId="77777777" w:rsidR="00B74030" w:rsidRPr="00CF6BAE" w:rsidRDefault="00B74030" w:rsidP="00B74030">
            <w:r w:rsidRPr="00CF6BAE">
              <w:t>&lt; 0.01 kg/Adt</w:t>
            </w:r>
          </w:p>
        </w:tc>
        <w:tc>
          <w:tcPr>
            <w:tcW w:w="3544" w:type="dxa"/>
          </w:tcPr>
          <w:p w14:paraId="7BF742F0" w14:textId="77777777" w:rsidR="00B74030" w:rsidRPr="00CF6BAE" w:rsidRDefault="00B74030" w:rsidP="00B74030"/>
        </w:tc>
      </w:tr>
      <w:tr w:rsidR="00B74030" w:rsidRPr="00CF6BAE" w14:paraId="63FD78F1" w14:textId="77777777" w:rsidTr="00B74030">
        <w:tc>
          <w:tcPr>
            <w:tcW w:w="1935" w:type="dxa"/>
          </w:tcPr>
          <w:p w14:paraId="5FEDB52E" w14:textId="77777777" w:rsidR="00B74030" w:rsidRPr="00CF6BAE" w:rsidRDefault="00B74030" w:rsidP="00393EE6">
            <w:r w:rsidRPr="00CF6BAE">
              <w:t>Total N (inorganic + organic N) (TN</w:t>
            </w:r>
            <w:r w:rsidRPr="00CF6BAE">
              <w:rPr>
                <w:vertAlign w:val="subscript"/>
              </w:rPr>
              <w:t>b</w:t>
            </w:r>
            <w:r w:rsidRPr="00CF6BAE">
              <w:t>)</w:t>
            </w:r>
          </w:p>
        </w:tc>
        <w:tc>
          <w:tcPr>
            <w:tcW w:w="3522" w:type="dxa"/>
          </w:tcPr>
          <w:p w14:paraId="3D4C8578" w14:textId="77777777" w:rsidR="00B74030" w:rsidRPr="00CF6BAE" w:rsidRDefault="00B74030" w:rsidP="00B74030">
            <w:r w:rsidRPr="00CF6BAE">
              <w:t>0.07 kg/Adt or 15 mg/l</w:t>
            </w:r>
          </w:p>
        </w:tc>
        <w:tc>
          <w:tcPr>
            <w:tcW w:w="3544" w:type="dxa"/>
          </w:tcPr>
          <w:p w14:paraId="3BA92BAE" w14:textId="77777777" w:rsidR="00B74030" w:rsidRPr="00CF6BAE" w:rsidRDefault="00B74030" w:rsidP="00B74030"/>
        </w:tc>
      </w:tr>
      <w:tr w:rsidR="00B74030" w:rsidRPr="00CF6BAE" w14:paraId="6B96594A" w14:textId="77777777" w:rsidTr="00B74030">
        <w:tc>
          <w:tcPr>
            <w:tcW w:w="1935" w:type="dxa"/>
          </w:tcPr>
          <w:p w14:paraId="0E15A160" w14:textId="77777777" w:rsidR="00B74030" w:rsidRPr="00CF6BAE" w:rsidRDefault="00B74030" w:rsidP="00393EE6">
            <w:r w:rsidRPr="00CF6BAE">
              <w:t>Total P</w:t>
            </w:r>
          </w:p>
        </w:tc>
        <w:tc>
          <w:tcPr>
            <w:tcW w:w="3522" w:type="dxa"/>
          </w:tcPr>
          <w:p w14:paraId="6EDCA1F6" w14:textId="77777777" w:rsidR="00B74030" w:rsidRPr="00CF6BAE" w:rsidRDefault="00B74030" w:rsidP="00B74030">
            <w:r w:rsidRPr="00CF6BAE">
              <w:t>0.008 kg/Adt or 1.2 mg/l</w:t>
            </w:r>
          </w:p>
        </w:tc>
        <w:tc>
          <w:tcPr>
            <w:tcW w:w="3544" w:type="dxa"/>
          </w:tcPr>
          <w:p w14:paraId="213E3C27" w14:textId="77777777" w:rsidR="00B74030" w:rsidRPr="00CF6BAE" w:rsidRDefault="00B74030" w:rsidP="00B74030"/>
        </w:tc>
      </w:tr>
    </w:tbl>
    <w:p w14:paraId="01EC63C6" w14:textId="77777777" w:rsidR="004B0A6E" w:rsidRPr="00CF6BAE" w:rsidRDefault="004B0A6E" w:rsidP="004B0A6E"/>
    <w:p w14:paraId="64BC4804" w14:textId="77777777" w:rsidR="00155DF6" w:rsidRPr="00CF6BAE" w:rsidRDefault="00155DF6" w:rsidP="00B74030">
      <w:pPr>
        <w:spacing w:after="240"/>
      </w:pPr>
    </w:p>
    <w:p w14:paraId="2623BE4A" w14:textId="77777777" w:rsidR="00155DF6" w:rsidRPr="00CF6BAE" w:rsidRDefault="00155DF6" w:rsidP="00B74030">
      <w:pPr>
        <w:spacing w:after="240"/>
      </w:pPr>
    </w:p>
    <w:p w14:paraId="4447D887" w14:textId="77777777" w:rsidR="00155DF6" w:rsidRPr="00CF6BAE" w:rsidRDefault="00155DF6" w:rsidP="00B74030">
      <w:pPr>
        <w:spacing w:after="240"/>
      </w:pPr>
    </w:p>
    <w:p w14:paraId="134A7D00" w14:textId="77777777" w:rsidR="00155DF6" w:rsidRPr="00CF6BAE" w:rsidRDefault="00155DF6" w:rsidP="00B74030">
      <w:pPr>
        <w:spacing w:after="240"/>
      </w:pPr>
    </w:p>
    <w:p w14:paraId="2BAA2731" w14:textId="77777777" w:rsidR="00155DF6" w:rsidRPr="00CF6BAE" w:rsidRDefault="00155DF6" w:rsidP="00B74030">
      <w:pPr>
        <w:spacing w:after="240"/>
      </w:pPr>
    </w:p>
    <w:p w14:paraId="39AE5380" w14:textId="77777777" w:rsidR="00155DF6" w:rsidRPr="00CF6BAE" w:rsidRDefault="00155DF6" w:rsidP="00B74030">
      <w:pPr>
        <w:spacing w:after="240"/>
      </w:pPr>
    </w:p>
    <w:p w14:paraId="6FC62106" w14:textId="77777777" w:rsidR="00155DF6" w:rsidRPr="00CF6BAE" w:rsidRDefault="00155DF6" w:rsidP="00B74030">
      <w:pPr>
        <w:spacing w:after="240"/>
      </w:pPr>
    </w:p>
    <w:p w14:paraId="1EEDE6FB" w14:textId="70F6F08B" w:rsidR="00155DF6" w:rsidRPr="00CF6BAE" w:rsidRDefault="00D55629" w:rsidP="00B74030">
      <w:pPr>
        <w:spacing w:after="240"/>
      </w:pPr>
      <w:r w:rsidRPr="00CF6BAE">
        <w:lastRenderedPageBreak/>
        <w:t xml:space="preserve">Please tick the box if appropriate </w:t>
      </w:r>
      <w:r w:rsidRPr="00CF6BAE">
        <w:rPr>
          <w:u w:val="single"/>
        </w:rPr>
        <w:t>and</w:t>
      </w:r>
      <w:r w:rsidRPr="00CF6BAE">
        <w:t xml:space="preserve"> complete the table:</w:t>
      </w:r>
    </w:p>
    <w:p w14:paraId="4C76F1D1" w14:textId="77777777" w:rsidR="00E24E48" w:rsidRPr="00CF6BAE" w:rsidRDefault="00E24E48" w:rsidP="00B74030">
      <w:pPr>
        <w:spacing w:after="240"/>
      </w:pPr>
    </w:p>
    <w:p w14:paraId="27C2F224" w14:textId="66EEF43E" w:rsidR="00B74030" w:rsidRPr="00CF6BAE" w:rsidRDefault="00782721" w:rsidP="00B74030">
      <w:pPr>
        <w:spacing w:after="240"/>
        <w:rPr>
          <w:b/>
          <w:u w:val="single"/>
        </w:rPr>
      </w:pPr>
      <w:sdt>
        <w:sdtPr>
          <w:rPr>
            <w:b/>
          </w:rPr>
          <w:id w:val="2028144437"/>
          <w14:checkbox>
            <w14:checked w14:val="0"/>
            <w14:checkedState w14:val="2612" w14:font="MS Gothic"/>
            <w14:uncheckedState w14:val="2610" w14:font="MS Gothic"/>
          </w14:checkbox>
        </w:sdtPr>
        <w:sdtEndPr/>
        <w:sdtContent>
          <w:r w:rsidR="00D55629" w:rsidRPr="00CF6BAE">
            <w:rPr>
              <w:rFonts w:ascii="MS Gothic" w:eastAsia="MS Gothic" w:hAnsi="MS Gothic"/>
              <w:b/>
            </w:rPr>
            <w:t>☐</w:t>
          </w:r>
        </w:sdtContent>
      </w:sdt>
      <w:r w:rsidR="00F86352" w:rsidRPr="00CF6BAE">
        <w:rPr>
          <w:b/>
        </w:rPr>
        <w:t xml:space="preserve"> </w:t>
      </w:r>
      <w:r w:rsidR="00F86352" w:rsidRPr="00CF6BAE">
        <w:rPr>
          <w:b/>
          <w:u w:val="single"/>
        </w:rPr>
        <w:t>PAPER FACTORY WITHOUT DEINKING:</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3522"/>
        <w:gridCol w:w="3544"/>
      </w:tblGrid>
      <w:tr w:rsidR="00647A76" w:rsidRPr="00CF6BAE" w14:paraId="7E489106" w14:textId="77777777" w:rsidTr="00393EE6">
        <w:tc>
          <w:tcPr>
            <w:tcW w:w="1935" w:type="dxa"/>
          </w:tcPr>
          <w:p w14:paraId="7CD02970" w14:textId="77777777" w:rsidR="00647A76" w:rsidRPr="00CF6BAE" w:rsidRDefault="00647A76" w:rsidP="00393EE6">
            <w:r w:rsidRPr="00CF6BAE">
              <w:t>Parameter</w:t>
            </w:r>
          </w:p>
        </w:tc>
        <w:tc>
          <w:tcPr>
            <w:tcW w:w="3522" w:type="dxa"/>
          </w:tcPr>
          <w:p w14:paraId="58D2B023" w14:textId="77777777" w:rsidR="00647A76" w:rsidRPr="00CF6BAE" w:rsidRDefault="00647A76" w:rsidP="00393EE6">
            <w:pPr>
              <w:jc w:val="center"/>
            </w:pPr>
            <w:r w:rsidRPr="00CF6BAE">
              <w:t xml:space="preserve">Maximum limit for waste water emissions </w:t>
            </w:r>
          </w:p>
          <w:p w14:paraId="25BC11B2" w14:textId="77777777" w:rsidR="00647A76" w:rsidRPr="00CF6BAE" w:rsidRDefault="00647A76" w:rsidP="00393EE6">
            <w:pPr>
              <w:jc w:val="center"/>
            </w:pPr>
            <w:r w:rsidRPr="00CF6BAE">
              <w:t>(average annual value as a load or concentration)</w:t>
            </w:r>
          </w:p>
        </w:tc>
        <w:tc>
          <w:tcPr>
            <w:tcW w:w="3544" w:type="dxa"/>
          </w:tcPr>
          <w:p w14:paraId="3AFFB17B" w14:textId="2CB653DC" w:rsidR="00647A76" w:rsidRPr="00CF6BAE" w:rsidRDefault="000871B5" w:rsidP="00393EE6">
            <w:pPr>
              <w:jc w:val="center"/>
            </w:pPr>
            <w:r w:rsidRPr="00CF6BAE">
              <w:t>Measured ACTUAL VALUE</w:t>
            </w:r>
            <w:r w:rsidRPr="00CF6BAE">
              <w:br/>
              <w:t>(please also state the units)</w:t>
            </w:r>
          </w:p>
        </w:tc>
      </w:tr>
      <w:tr w:rsidR="00647A76" w:rsidRPr="00CF6BAE" w14:paraId="0DD38224" w14:textId="77777777" w:rsidTr="00393EE6">
        <w:tc>
          <w:tcPr>
            <w:tcW w:w="1935" w:type="dxa"/>
          </w:tcPr>
          <w:p w14:paraId="4A11BC14" w14:textId="77777777" w:rsidR="00647A76" w:rsidRPr="00CF6BAE" w:rsidRDefault="00647A76" w:rsidP="00393EE6">
            <w:r w:rsidRPr="00CF6BAE">
              <w:t>Volumetric flow rate of waste water</w:t>
            </w:r>
          </w:p>
        </w:tc>
        <w:tc>
          <w:tcPr>
            <w:tcW w:w="3522" w:type="dxa"/>
          </w:tcPr>
          <w:p w14:paraId="256927CE" w14:textId="77777777" w:rsidR="00647A76" w:rsidRPr="00CF6BAE" w:rsidRDefault="00647A76" w:rsidP="00205C28">
            <w:pPr>
              <w:jc w:val="center"/>
            </w:pPr>
            <w:r w:rsidRPr="00CF6BAE">
              <w:t>&lt;5 m</w:t>
            </w:r>
            <w:r w:rsidRPr="00CF6BAE">
              <w:rPr>
                <w:vertAlign w:val="superscript"/>
              </w:rPr>
              <w:t>3</w:t>
            </w:r>
            <w:r w:rsidRPr="00CF6BAE">
              <w:t>/Adt</w:t>
            </w:r>
          </w:p>
        </w:tc>
        <w:tc>
          <w:tcPr>
            <w:tcW w:w="3544" w:type="dxa"/>
          </w:tcPr>
          <w:p w14:paraId="4E28C9D3" w14:textId="77777777" w:rsidR="00647A76" w:rsidRPr="00CF6BAE" w:rsidRDefault="00647A76" w:rsidP="00393EE6">
            <w:pPr>
              <w:jc w:val="center"/>
            </w:pPr>
          </w:p>
        </w:tc>
      </w:tr>
      <w:tr w:rsidR="00647A76" w:rsidRPr="00CF6BAE" w14:paraId="5B2F9D71" w14:textId="77777777" w:rsidTr="00393EE6">
        <w:tc>
          <w:tcPr>
            <w:tcW w:w="1935" w:type="dxa"/>
          </w:tcPr>
          <w:p w14:paraId="0634546E" w14:textId="77777777" w:rsidR="00647A76" w:rsidRPr="00CF6BAE" w:rsidRDefault="00647A76" w:rsidP="00393EE6">
            <w:r w:rsidRPr="00CF6BAE">
              <w:t>COD</w:t>
            </w:r>
          </w:p>
        </w:tc>
        <w:tc>
          <w:tcPr>
            <w:tcW w:w="3522" w:type="dxa"/>
          </w:tcPr>
          <w:p w14:paraId="2097C007" w14:textId="77777777" w:rsidR="00647A76" w:rsidRPr="00CF6BAE" w:rsidRDefault="00647A76" w:rsidP="00205C28">
            <w:pPr>
              <w:jc w:val="center"/>
            </w:pPr>
            <w:r w:rsidRPr="00CF6BAE">
              <w:t>&lt; 1.2 kg/Adt</w:t>
            </w:r>
          </w:p>
        </w:tc>
        <w:tc>
          <w:tcPr>
            <w:tcW w:w="3544" w:type="dxa"/>
          </w:tcPr>
          <w:p w14:paraId="78AE8BA1" w14:textId="77777777" w:rsidR="00647A76" w:rsidRPr="00CF6BAE" w:rsidRDefault="00647A76" w:rsidP="00393EE6">
            <w:pPr>
              <w:jc w:val="center"/>
            </w:pPr>
          </w:p>
        </w:tc>
      </w:tr>
      <w:tr w:rsidR="00647A76" w:rsidRPr="00CF6BAE" w14:paraId="5E88F855" w14:textId="77777777" w:rsidTr="00393EE6">
        <w:tc>
          <w:tcPr>
            <w:tcW w:w="1935" w:type="dxa"/>
          </w:tcPr>
          <w:p w14:paraId="4CB7DEED" w14:textId="77777777" w:rsidR="00647A76" w:rsidRPr="00CF6BAE" w:rsidRDefault="00647A76" w:rsidP="00393EE6">
            <w:r w:rsidRPr="00CF6BAE">
              <w:t>BSB</w:t>
            </w:r>
            <w:r w:rsidRPr="00CF6BAE">
              <w:rPr>
                <w:vertAlign w:val="subscript"/>
              </w:rPr>
              <w:t>5</w:t>
            </w:r>
          </w:p>
        </w:tc>
        <w:tc>
          <w:tcPr>
            <w:tcW w:w="3522" w:type="dxa"/>
          </w:tcPr>
          <w:p w14:paraId="44F012FF" w14:textId="77777777" w:rsidR="00647A76" w:rsidRPr="00CF6BAE" w:rsidRDefault="00647A76" w:rsidP="00205C28">
            <w:pPr>
              <w:jc w:val="center"/>
            </w:pPr>
            <w:r w:rsidRPr="00CF6BAE">
              <w:t>&lt; 0.15 kg/Adt or &lt;25 mg/l</w:t>
            </w:r>
          </w:p>
        </w:tc>
        <w:tc>
          <w:tcPr>
            <w:tcW w:w="3544" w:type="dxa"/>
          </w:tcPr>
          <w:p w14:paraId="4915A5DD" w14:textId="77777777" w:rsidR="00647A76" w:rsidRPr="00CF6BAE" w:rsidRDefault="00647A76" w:rsidP="00393EE6"/>
        </w:tc>
      </w:tr>
      <w:tr w:rsidR="00647A76" w:rsidRPr="00CF6BAE" w14:paraId="597149BA" w14:textId="77777777" w:rsidTr="00393EE6">
        <w:tc>
          <w:tcPr>
            <w:tcW w:w="1935" w:type="dxa"/>
          </w:tcPr>
          <w:p w14:paraId="47ABC80B" w14:textId="77777777" w:rsidR="00647A76" w:rsidRPr="00CF6BAE" w:rsidRDefault="00647A76" w:rsidP="00393EE6">
            <w:r w:rsidRPr="00CF6BAE">
              <w:t>AOX</w:t>
            </w:r>
          </w:p>
        </w:tc>
        <w:tc>
          <w:tcPr>
            <w:tcW w:w="3522" w:type="dxa"/>
          </w:tcPr>
          <w:p w14:paraId="24262ECE" w14:textId="77777777" w:rsidR="00647A76" w:rsidRPr="00CF6BAE" w:rsidRDefault="00647A76" w:rsidP="00205C28">
            <w:pPr>
              <w:jc w:val="center"/>
            </w:pPr>
            <w:r w:rsidRPr="00CF6BAE">
              <w:t>&lt; 0.01 kg/Adt</w:t>
            </w:r>
          </w:p>
        </w:tc>
        <w:tc>
          <w:tcPr>
            <w:tcW w:w="3544" w:type="dxa"/>
          </w:tcPr>
          <w:p w14:paraId="67DE6262" w14:textId="77777777" w:rsidR="00647A76" w:rsidRPr="00CF6BAE" w:rsidRDefault="00647A76" w:rsidP="00393EE6"/>
        </w:tc>
      </w:tr>
      <w:tr w:rsidR="00647A76" w:rsidRPr="00CF6BAE" w14:paraId="24A29A83" w14:textId="77777777" w:rsidTr="00393EE6">
        <w:tc>
          <w:tcPr>
            <w:tcW w:w="1935" w:type="dxa"/>
          </w:tcPr>
          <w:p w14:paraId="6A2655A3" w14:textId="77777777" w:rsidR="00647A76" w:rsidRPr="00CF6BAE" w:rsidRDefault="00647A76" w:rsidP="00393EE6">
            <w:r w:rsidRPr="00CF6BAE">
              <w:t>Total N (inorganic + organic N) (TN</w:t>
            </w:r>
            <w:r w:rsidRPr="00CF6BAE">
              <w:rPr>
                <w:vertAlign w:val="subscript"/>
              </w:rPr>
              <w:t>b</w:t>
            </w:r>
            <w:r w:rsidRPr="00CF6BAE">
              <w:t>)</w:t>
            </w:r>
          </w:p>
        </w:tc>
        <w:tc>
          <w:tcPr>
            <w:tcW w:w="3522" w:type="dxa"/>
          </w:tcPr>
          <w:p w14:paraId="5BB02BB9" w14:textId="77777777" w:rsidR="00647A76" w:rsidRPr="00CF6BAE" w:rsidRDefault="00647A76" w:rsidP="00205C28">
            <w:pPr>
              <w:jc w:val="center"/>
            </w:pPr>
            <w:r w:rsidRPr="00CF6BAE">
              <w:t>0.07 kg/Adt or 15 mg/l</w:t>
            </w:r>
          </w:p>
        </w:tc>
        <w:tc>
          <w:tcPr>
            <w:tcW w:w="3544" w:type="dxa"/>
          </w:tcPr>
          <w:p w14:paraId="108A4C6D" w14:textId="77777777" w:rsidR="00647A76" w:rsidRPr="00CF6BAE" w:rsidRDefault="00647A76" w:rsidP="00393EE6"/>
        </w:tc>
      </w:tr>
      <w:tr w:rsidR="00647A76" w:rsidRPr="00CF6BAE" w14:paraId="46D11942" w14:textId="77777777" w:rsidTr="00393EE6">
        <w:tc>
          <w:tcPr>
            <w:tcW w:w="1935" w:type="dxa"/>
          </w:tcPr>
          <w:p w14:paraId="0D0E4DD0" w14:textId="77777777" w:rsidR="00647A76" w:rsidRPr="00CF6BAE" w:rsidRDefault="00647A76" w:rsidP="00393EE6">
            <w:r w:rsidRPr="00CF6BAE">
              <w:t>Total P</w:t>
            </w:r>
          </w:p>
        </w:tc>
        <w:tc>
          <w:tcPr>
            <w:tcW w:w="3522" w:type="dxa"/>
          </w:tcPr>
          <w:p w14:paraId="78CBDD35" w14:textId="77777777" w:rsidR="00647A76" w:rsidRPr="00CF6BAE" w:rsidRDefault="00647A76" w:rsidP="00205C28">
            <w:pPr>
              <w:jc w:val="center"/>
            </w:pPr>
            <w:r w:rsidRPr="00CF6BAE">
              <w:t>0.008 kg/Adt or 1.2 mg/l</w:t>
            </w:r>
          </w:p>
        </w:tc>
        <w:tc>
          <w:tcPr>
            <w:tcW w:w="3544" w:type="dxa"/>
          </w:tcPr>
          <w:p w14:paraId="3FF22062" w14:textId="77777777" w:rsidR="00647A76" w:rsidRPr="00CF6BAE" w:rsidRDefault="00647A76" w:rsidP="00393EE6"/>
        </w:tc>
      </w:tr>
    </w:tbl>
    <w:p w14:paraId="5EC2C1A8" w14:textId="77777777" w:rsidR="00647A76" w:rsidRPr="00CF6BAE" w:rsidRDefault="00647A76" w:rsidP="00647A76"/>
    <w:p w14:paraId="708C2B36" w14:textId="77777777" w:rsidR="00647A76" w:rsidRPr="00CF6BAE" w:rsidRDefault="00647A76" w:rsidP="00B74030">
      <w:pPr>
        <w:spacing w:after="240"/>
        <w:rPr>
          <w:b/>
          <w:u w:val="single"/>
        </w:rPr>
      </w:pPr>
    </w:p>
    <w:p w14:paraId="4C62A702" w14:textId="77777777" w:rsidR="00B74030" w:rsidRPr="00CF6BAE" w:rsidRDefault="00B74030" w:rsidP="00B74030"/>
    <w:p w14:paraId="7FADE33F" w14:textId="77777777" w:rsidR="00B74030" w:rsidRPr="00CF6BAE" w:rsidRDefault="00B74030" w:rsidP="00913DD3">
      <w:pPr>
        <w:rPr>
          <w:rFonts w:ascii="Arial" w:hAnsi="Arial" w:cs="Arial"/>
          <w:sz w:val="22"/>
          <w:szCs w:val="22"/>
        </w:rPr>
      </w:pPr>
    </w:p>
    <w:p w14:paraId="4CF3DAD4" w14:textId="77777777" w:rsidR="00913DD3" w:rsidRPr="00CF6BAE" w:rsidRDefault="00913DD3" w:rsidP="00913DD3">
      <w:pPr>
        <w:rPr>
          <w:rFonts w:ascii="Arial" w:hAnsi="Arial" w:cs="Arial"/>
          <w:sz w:val="22"/>
          <w:szCs w:val="22"/>
        </w:rPr>
      </w:pPr>
      <w:r w:rsidRPr="00CF6BAE">
        <w:rPr>
          <w:rStyle w:val="Funotenzeichen"/>
          <w:rFonts w:ascii="Arial" w:hAnsi="Arial"/>
          <w:sz w:val="22"/>
        </w:rPr>
        <w:t>*</w:t>
      </w:r>
      <w:r w:rsidRPr="00CF6BAE">
        <w:rPr>
          <w:rFonts w:ascii="Arial" w:hAnsi="Arial"/>
          <w:sz w:val="22"/>
        </w:rPr>
        <w:t xml:space="preserve"> Adt = </w:t>
      </w:r>
      <w:r w:rsidRPr="00CF6BAE">
        <w:rPr>
          <w:rFonts w:ascii="Arial" w:hAnsi="Arial"/>
          <w:b/>
          <w:sz w:val="22"/>
        </w:rPr>
        <w:t>A</w:t>
      </w:r>
      <w:r w:rsidRPr="00CF6BAE">
        <w:rPr>
          <w:rFonts w:ascii="Arial" w:hAnsi="Arial"/>
          <w:sz w:val="22"/>
        </w:rPr>
        <w:t xml:space="preserve">ir </w:t>
      </w:r>
      <w:r w:rsidRPr="00CF6BAE">
        <w:rPr>
          <w:rFonts w:ascii="Arial" w:hAnsi="Arial"/>
          <w:b/>
          <w:sz w:val="22"/>
        </w:rPr>
        <w:t>d</w:t>
      </w:r>
      <w:r w:rsidRPr="00CF6BAE">
        <w:rPr>
          <w:rFonts w:ascii="Arial" w:hAnsi="Arial"/>
          <w:sz w:val="22"/>
        </w:rPr>
        <w:t xml:space="preserve">ried </w:t>
      </w:r>
      <w:r w:rsidRPr="00CF6BAE">
        <w:rPr>
          <w:rFonts w:ascii="Arial" w:hAnsi="Arial"/>
          <w:b/>
          <w:sz w:val="22"/>
        </w:rPr>
        <w:t>t</w:t>
      </w:r>
      <w:r w:rsidRPr="00CF6BAE">
        <w:rPr>
          <w:rFonts w:ascii="Arial" w:hAnsi="Arial"/>
          <w:sz w:val="22"/>
        </w:rPr>
        <w:t>on</w:t>
      </w:r>
    </w:p>
    <w:p w14:paraId="421EC311" w14:textId="77777777" w:rsidR="00913DD3" w:rsidRPr="00CF6BAE" w:rsidRDefault="00913DD3" w:rsidP="00913DD3">
      <w:pPr>
        <w:rPr>
          <w:rFonts w:ascii="Arial" w:hAnsi="Arial" w:cs="Arial"/>
          <w:sz w:val="22"/>
          <w:szCs w:val="22"/>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F53FA5" w:rsidRPr="00CF6BAE" w14:paraId="3B9E0CF7" w14:textId="77777777" w:rsidTr="00AD3AE0">
        <w:trPr>
          <w:trHeight w:val="803"/>
        </w:trPr>
        <w:tc>
          <w:tcPr>
            <w:tcW w:w="922" w:type="dxa"/>
            <w:tcBorders>
              <w:top w:val="nil"/>
              <w:left w:val="nil"/>
              <w:bottom w:val="nil"/>
            </w:tcBorders>
            <w:vAlign w:val="center"/>
          </w:tcPr>
          <w:p w14:paraId="312E4B07" w14:textId="77777777" w:rsidR="00F53FA5" w:rsidRPr="00CF6BAE" w:rsidRDefault="00F53FA5" w:rsidP="00B25A65">
            <w:pPr>
              <w:rPr>
                <w:rFonts w:cs="Arial"/>
                <w:b/>
              </w:rPr>
            </w:pPr>
            <w:r w:rsidRPr="00CF6BAE">
              <w:rPr>
                <w:b/>
              </w:rPr>
              <w:t>Location:</w:t>
            </w:r>
          </w:p>
        </w:tc>
        <w:tc>
          <w:tcPr>
            <w:tcW w:w="2565" w:type="dxa"/>
            <w:tcBorders>
              <w:bottom w:val="single" w:sz="4" w:space="0" w:color="auto"/>
            </w:tcBorders>
            <w:vAlign w:val="center"/>
          </w:tcPr>
          <w:p w14:paraId="58011BF1" w14:textId="77777777" w:rsidR="00F53FA5" w:rsidRPr="00CF6BAE" w:rsidRDefault="00F53FA5" w:rsidP="00AC0FE3">
            <w:pPr>
              <w:rPr>
                <w:rFonts w:cs="Arial"/>
              </w:rPr>
            </w:pPr>
            <w:r w:rsidRPr="00CF6BAE">
              <w:rPr>
                <w:rFonts w:cs="Arial"/>
              </w:rPr>
              <w:fldChar w:fldCharType="begin" w:fldLock="1">
                <w:ffData>
                  <w:name w:val="Text18"/>
                  <w:enabled/>
                  <w:calcOnExit w:val="0"/>
                  <w:textInput/>
                </w:ffData>
              </w:fldChar>
            </w:r>
            <w:bookmarkStart w:id="0" w:name="Text18"/>
            <w:r w:rsidRPr="00CF6BAE">
              <w:rPr>
                <w:rFonts w:cs="Arial"/>
              </w:rPr>
              <w:instrText xml:space="preserve"> FORMTEXT </w:instrText>
            </w:r>
            <w:r w:rsidRPr="00CF6BAE">
              <w:rPr>
                <w:rFonts w:cs="Arial"/>
              </w:rPr>
            </w:r>
            <w:r w:rsidRPr="00CF6BAE">
              <w:rPr>
                <w:rFonts w:cs="Arial"/>
              </w:rPr>
              <w:fldChar w:fldCharType="separate"/>
            </w:r>
            <w:r w:rsidRPr="00CF6BAE">
              <w:t>     </w:t>
            </w:r>
            <w:r w:rsidRPr="00CF6BAE">
              <w:rPr>
                <w:rFonts w:cs="Arial"/>
              </w:rPr>
              <w:fldChar w:fldCharType="end"/>
            </w:r>
            <w:bookmarkEnd w:id="0"/>
          </w:p>
        </w:tc>
        <w:tc>
          <w:tcPr>
            <w:tcW w:w="142" w:type="dxa"/>
            <w:tcBorders>
              <w:top w:val="nil"/>
              <w:bottom w:val="nil"/>
            </w:tcBorders>
          </w:tcPr>
          <w:p w14:paraId="3D99C292" w14:textId="77777777" w:rsidR="00F53FA5" w:rsidRPr="00CF6BAE" w:rsidRDefault="00F53FA5" w:rsidP="00B25A65">
            <w:pPr>
              <w:jc w:val="center"/>
              <w:rPr>
                <w:rFonts w:cs="Arial"/>
                <w:b/>
              </w:rPr>
            </w:pPr>
          </w:p>
        </w:tc>
        <w:sdt>
          <w:sdtPr>
            <w:rPr>
              <w:rFonts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4ECA2298" w14:textId="77777777" w:rsidR="00F53FA5" w:rsidRPr="00CF6BAE" w:rsidRDefault="006B6306" w:rsidP="00B25A65">
                <w:pPr>
                  <w:jc w:val="center"/>
                  <w:rPr>
                    <w:rFonts w:cs="Arial"/>
                    <w:b/>
                  </w:rPr>
                </w:pPr>
                <w:r w:rsidRPr="00CF6BAE">
                  <w:rPr>
                    <w:b/>
                    <w:noProof/>
                  </w:rPr>
                  <w:drawing>
                    <wp:inline distT="0" distB="0" distL="0" distR="0" wp14:anchorId="4AA9AFF7" wp14:editId="6AD0796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CF6BAE" w14:paraId="1DA6DC88" w14:textId="77777777" w:rsidTr="00AD3AE0">
        <w:trPr>
          <w:trHeight w:val="190"/>
        </w:trPr>
        <w:tc>
          <w:tcPr>
            <w:tcW w:w="922" w:type="dxa"/>
            <w:tcBorders>
              <w:top w:val="nil"/>
              <w:left w:val="nil"/>
              <w:bottom w:val="nil"/>
              <w:right w:val="nil"/>
            </w:tcBorders>
            <w:vAlign w:val="center"/>
          </w:tcPr>
          <w:p w14:paraId="39644137" w14:textId="77777777" w:rsidR="00F53FA5" w:rsidRPr="00CF6BAE" w:rsidRDefault="00F53FA5" w:rsidP="00B25A65">
            <w:pPr>
              <w:rPr>
                <w:rFonts w:cs="Arial"/>
                <w:b/>
              </w:rPr>
            </w:pPr>
          </w:p>
        </w:tc>
        <w:tc>
          <w:tcPr>
            <w:tcW w:w="2565" w:type="dxa"/>
            <w:tcBorders>
              <w:left w:val="nil"/>
              <w:right w:val="nil"/>
            </w:tcBorders>
            <w:vAlign w:val="center"/>
          </w:tcPr>
          <w:p w14:paraId="56269A85" w14:textId="77777777" w:rsidR="00F53FA5" w:rsidRPr="00CF6BAE" w:rsidRDefault="00F53FA5" w:rsidP="00B25A65">
            <w:pPr>
              <w:jc w:val="center"/>
              <w:rPr>
                <w:rFonts w:cs="Arial"/>
                <w:b/>
              </w:rPr>
            </w:pPr>
          </w:p>
        </w:tc>
        <w:tc>
          <w:tcPr>
            <w:tcW w:w="142" w:type="dxa"/>
            <w:tcBorders>
              <w:top w:val="nil"/>
              <w:left w:val="nil"/>
              <w:bottom w:val="nil"/>
            </w:tcBorders>
          </w:tcPr>
          <w:p w14:paraId="2202BB5B" w14:textId="77777777" w:rsidR="00F53FA5" w:rsidRPr="00CF6BAE" w:rsidRDefault="00F53FA5" w:rsidP="00B25A65">
            <w:pPr>
              <w:jc w:val="center"/>
              <w:rPr>
                <w:rFonts w:cs="Arial"/>
                <w:b/>
              </w:rPr>
            </w:pPr>
          </w:p>
        </w:tc>
        <w:tc>
          <w:tcPr>
            <w:tcW w:w="5386" w:type="dxa"/>
            <w:vMerge/>
            <w:tcBorders>
              <w:right w:val="single" w:sz="4" w:space="0" w:color="auto"/>
            </w:tcBorders>
            <w:vAlign w:val="center"/>
          </w:tcPr>
          <w:p w14:paraId="5DDA6022" w14:textId="77777777" w:rsidR="00F53FA5" w:rsidRPr="00CF6BAE" w:rsidRDefault="00F53FA5" w:rsidP="00B25A65">
            <w:pPr>
              <w:jc w:val="center"/>
              <w:rPr>
                <w:rFonts w:cs="Arial"/>
                <w:b/>
              </w:rPr>
            </w:pPr>
          </w:p>
        </w:tc>
      </w:tr>
      <w:tr w:rsidR="00F53FA5" w:rsidRPr="00CF6BAE" w14:paraId="2896A4F6" w14:textId="77777777" w:rsidTr="00AD3AE0">
        <w:trPr>
          <w:trHeight w:val="404"/>
        </w:trPr>
        <w:tc>
          <w:tcPr>
            <w:tcW w:w="922" w:type="dxa"/>
            <w:tcBorders>
              <w:top w:val="nil"/>
              <w:left w:val="nil"/>
              <w:bottom w:val="nil"/>
            </w:tcBorders>
            <w:vAlign w:val="center"/>
          </w:tcPr>
          <w:p w14:paraId="256721A1" w14:textId="77777777" w:rsidR="00F53FA5" w:rsidRPr="00CF6BAE" w:rsidRDefault="00F53FA5" w:rsidP="00B25A65">
            <w:pPr>
              <w:rPr>
                <w:rFonts w:cs="Arial"/>
                <w:b/>
              </w:rPr>
            </w:pPr>
            <w:r w:rsidRPr="00CF6BAE">
              <w:rPr>
                <w:b/>
              </w:rPr>
              <w:t>Date:</w:t>
            </w:r>
          </w:p>
        </w:tc>
        <w:tc>
          <w:tcPr>
            <w:tcW w:w="2565" w:type="dxa"/>
            <w:vAlign w:val="center"/>
          </w:tcPr>
          <w:p w14:paraId="0081D743" w14:textId="3F84B34F" w:rsidR="00F53FA5" w:rsidRPr="00CF6BAE" w:rsidRDefault="00AC0FE3" w:rsidP="00AC0FE3">
            <w:pPr>
              <w:rPr>
                <w:rFonts w:cs="Arial"/>
              </w:rPr>
            </w:pPr>
            <w:r w:rsidRPr="00CF6BAE">
              <w:rPr>
                <w:rFonts w:cs="Arial"/>
              </w:rPr>
              <w:fldChar w:fldCharType="begin">
                <w:ffData>
                  <w:name w:val="Text19"/>
                  <w:enabled/>
                  <w:calcOnExit w:val="0"/>
                  <w:textInput>
                    <w:type w:val="date"/>
                    <w:format w:val="dd MMMM yyyy HH:mm:ss"/>
                  </w:textInput>
                </w:ffData>
              </w:fldChar>
            </w:r>
            <w:bookmarkStart w:id="1" w:name="Text19"/>
            <w:r w:rsidRPr="00CF6BAE">
              <w:rPr>
                <w:rFonts w:cs="Arial"/>
              </w:rPr>
              <w:instrText xml:space="preserve"> FORMTEXT </w:instrText>
            </w:r>
            <w:r w:rsidRPr="00CF6BAE">
              <w:rPr>
                <w:rFonts w:cs="Arial"/>
              </w:rPr>
            </w:r>
            <w:r w:rsidRPr="00CF6BAE">
              <w:rPr>
                <w:rFonts w:cs="Arial"/>
              </w:rPr>
              <w:fldChar w:fldCharType="separate"/>
            </w:r>
            <w:r w:rsidR="00CF6BAE" w:rsidRPr="00CF6BAE">
              <w:rPr>
                <w:rFonts w:cs="Arial"/>
                <w:noProof/>
              </w:rPr>
              <w:t> </w:t>
            </w:r>
            <w:r w:rsidR="00CF6BAE" w:rsidRPr="00CF6BAE">
              <w:rPr>
                <w:rFonts w:cs="Arial"/>
                <w:noProof/>
              </w:rPr>
              <w:t> </w:t>
            </w:r>
            <w:r w:rsidR="00CF6BAE" w:rsidRPr="00CF6BAE">
              <w:rPr>
                <w:rFonts w:cs="Arial"/>
                <w:noProof/>
              </w:rPr>
              <w:t> </w:t>
            </w:r>
            <w:r w:rsidR="00CF6BAE" w:rsidRPr="00CF6BAE">
              <w:rPr>
                <w:rFonts w:cs="Arial"/>
                <w:noProof/>
              </w:rPr>
              <w:t> </w:t>
            </w:r>
            <w:r w:rsidR="00CF6BAE" w:rsidRPr="00CF6BAE">
              <w:rPr>
                <w:rFonts w:cs="Arial"/>
                <w:noProof/>
              </w:rPr>
              <w:t> </w:t>
            </w:r>
            <w:r w:rsidRPr="00CF6BAE">
              <w:rPr>
                <w:rFonts w:cs="Arial"/>
              </w:rPr>
              <w:fldChar w:fldCharType="end"/>
            </w:r>
            <w:bookmarkEnd w:id="1"/>
          </w:p>
        </w:tc>
        <w:tc>
          <w:tcPr>
            <w:tcW w:w="142" w:type="dxa"/>
            <w:tcBorders>
              <w:top w:val="nil"/>
              <w:bottom w:val="nil"/>
            </w:tcBorders>
          </w:tcPr>
          <w:p w14:paraId="102BDA8B" w14:textId="77777777" w:rsidR="00F53FA5" w:rsidRPr="00CF6BAE" w:rsidRDefault="00F53FA5" w:rsidP="00B25A65">
            <w:pPr>
              <w:jc w:val="right"/>
              <w:rPr>
                <w:rFonts w:cs="Arial"/>
                <w:b/>
              </w:rPr>
            </w:pPr>
          </w:p>
        </w:tc>
        <w:tc>
          <w:tcPr>
            <w:tcW w:w="5386" w:type="dxa"/>
            <w:vMerge/>
            <w:tcBorders>
              <w:bottom w:val="single" w:sz="4" w:space="0" w:color="auto"/>
              <w:right w:val="single" w:sz="4" w:space="0" w:color="auto"/>
            </w:tcBorders>
            <w:vAlign w:val="center"/>
          </w:tcPr>
          <w:p w14:paraId="7D6BB89F" w14:textId="77777777" w:rsidR="00F53FA5" w:rsidRPr="00CF6BAE" w:rsidRDefault="00F53FA5" w:rsidP="00B25A65">
            <w:pPr>
              <w:jc w:val="right"/>
              <w:rPr>
                <w:rFonts w:cs="Arial"/>
                <w:b/>
              </w:rPr>
            </w:pPr>
          </w:p>
        </w:tc>
      </w:tr>
    </w:tbl>
    <w:p w14:paraId="36433088" w14:textId="77777777" w:rsidR="0076549D" w:rsidRPr="00CF6BAE" w:rsidRDefault="0069688C" w:rsidP="00B25A65">
      <w:pPr>
        <w:jc w:val="right"/>
        <w:rPr>
          <w:rFonts w:cs="Arial"/>
        </w:rPr>
      </w:pPr>
      <w:r w:rsidRPr="00CF6BAE">
        <w:rPr>
          <w:b/>
        </w:rPr>
        <w:t>Legally binding signature / company stamp</w:t>
      </w:r>
      <w:r w:rsidRPr="00CF6BAE">
        <w:rPr>
          <w:b/>
        </w:rPr>
        <w:br/>
        <w:t>of the applicant</w:t>
      </w:r>
    </w:p>
    <w:sectPr w:rsidR="0076549D" w:rsidRPr="00CF6BAE"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D2122" w14:textId="77777777" w:rsidR="00196E22" w:rsidRDefault="00196E22">
      <w:r>
        <w:separator/>
      </w:r>
    </w:p>
  </w:endnote>
  <w:endnote w:type="continuationSeparator" w:id="0">
    <w:p w14:paraId="10433035" w14:textId="77777777" w:rsidR="00196E22" w:rsidRDefault="0019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149F" w14:textId="348863F2" w:rsidR="008C5F5C" w:rsidRDefault="008C5F5C" w:rsidP="008C5F5C">
    <w:pPr>
      <w:rPr>
        <w:sz w:val="18"/>
        <w:szCs w:val="18"/>
      </w:rPr>
    </w:pPr>
    <w:r>
      <w:rPr>
        <w:b/>
      </w:rPr>
      <w:t>TN</w:t>
    </w:r>
    <w:r>
      <w:rPr>
        <w:b/>
        <w:vertAlign w:val="subscript"/>
      </w:rPr>
      <w:t>b</w:t>
    </w:r>
    <w:r>
      <w:rPr>
        <w:sz w:val="18"/>
      </w:rP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6F6F0132" w14:textId="77777777" w:rsidR="00564427" w:rsidRPr="008C5F5C" w:rsidRDefault="00564427" w:rsidP="008C5F5C">
    <w:pPr>
      <w:rPr>
        <w:sz w:val="18"/>
        <w:szCs w:val="18"/>
      </w:rPr>
    </w:pPr>
  </w:p>
  <w:p w14:paraId="2B821904" w14:textId="290DCBC1" w:rsidR="00E83255" w:rsidRPr="00B010C2" w:rsidRDefault="0056489B" w:rsidP="00F532CB">
    <w:pPr>
      <w:pStyle w:val="Fuzeile"/>
      <w:tabs>
        <w:tab w:val="clear" w:pos="4536"/>
        <w:tab w:val="clear" w:pos="9072"/>
        <w:tab w:val="center" w:pos="4820"/>
        <w:tab w:val="right" w:pos="9540"/>
      </w:tabs>
      <w:rPr>
        <w:rFonts w:cs="Arial"/>
      </w:rPr>
    </w:pPr>
    <w:r>
      <w:t>1</w:t>
    </w:r>
    <w:r w:rsidR="004B0A6E">
      <w:t>2/0</w:t>
    </w:r>
    <w:r>
      <w:t>7</w:t>
    </w:r>
    <w:r w:rsidR="004B0A6E">
      <w:t>/2021 Annex 4 to the contract</w:t>
    </w:r>
    <w:r w:rsidR="004B0A6E">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4B0A6E">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4B0A6E">
      <w:rPr>
        <w:rStyle w:val="Seitenzahl"/>
      </w:rPr>
      <w:tab/>
      <w:t>DE-UZ 217a Edition January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57B7"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581A6" w14:textId="77777777" w:rsidR="00196E22" w:rsidRDefault="00196E22">
      <w:r>
        <w:separator/>
      </w:r>
    </w:p>
  </w:footnote>
  <w:footnote w:type="continuationSeparator" w:id="0">
    <w:p w14:paraId="3D68890A" w14:textId="77777777" w:rsidR="00196E22" w:rsidRDefault="0019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2A96C" w14:textId="77777777" w:rsidR="00E83255" w:rsidRDefault="00C64EBC">
    <w:pPr>
      <w:pStyle w:val="Kopfzeile"/>
    </w:pPr>
    <w:r>
      <w:rPr>
        <w:noProof/>
      </w:rPr>
      <w:drawing>
        <wp:anchor distT="0" distB="0" distL="114300" distR="114300" simplePos="0" relativeHeight="251660800" behindDoc="0" locked="0" layoutInCell="1" allowOverlap="1" wp14:anchorId="3174729E" wp14:editId="343ECDE7">
          <wp:simplePos x="0" y="0"/>
          <wp:positionH relativeFrom="column">
            <wp:posOffset>4895215</wp:posOffset>
          </wp:positionH>
          <wp:positionV relativeFrom="paragraph">
            <wp:posOffset>-610870</wp:posOffset>
          </wp:positionV>
          <wp:extent cx="1048385" cy="682625"/>
          <wp:effectExtent l="0" t="0" r="0" b="317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48385" cy="6826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06326" w14:textId="77777777" w:rsidR="00E83255" w:rsidRDefault="00E83255">
    <w:pPr>
      <w:pStyle w:val="Kopfzeile"/>
    </w:pPr>
    <w:r>
      <w:rPr>
        <w:noProof/>
      </w:rPr>
      <w:drawing>
        <wp:anchor distT="0" distB="0" distL="114300" distR="114300" simplePos="0" relativeHeight="251659776" behindDoc="1" locked="0" layoutInCell="1" allowOverlap="0" wp14:anchorId="3C6A14F0" wp14:editId="4CB2161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0AfTlO1QdlnTyZ+iA/uetW9ioqRMEUimFbDGXCPO1Onr72AwdDXDLVy+oHoggjLk42gzSkAaGesM06fflMr+XA==" w:salt="D6yjLmtkS9pAOX/zQXJ51g=="/>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71D"/>
    <w:rsid w:val="00081D57"/>
    <w:rsid w:val="0008333B"/>
    <w:rsid w:val="000838DE"/>
    <w:rsid w:val="0008554C"/>
    <w:rsid w:val="00085F58"/>
    <w:rsid w:val="00086844"/>
    <w:rsid w:val="00087088"/>
    <w:rsid w:val="000871B5"/>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857"/>
    <w:rsid w:val="00142DF7"/>
    <w:rsid w:val="0014398E"/>
    <w:rsid w:val="00143A49"/>
    <w:rsid w:val="0014543D"/>
    <w:rsid w:val="00146A06"/>
    <w:rsid w:val="00151209"/>
    <w:rsid w:val="001538E6"/>
    <w:rsid w:val="00155DF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96E22"/>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1F7D27"/>
    <w:rsid w:val="002028D5"/>
    <w:rsid w:val="00205A52"/>
    <w:rsid w:val="00205B91"/>
    <w:rsid w:val="00205C28"/>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46C37"/>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1D76"/>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A6E"/>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427"/>
    <w:rsid w:val="005646BB"/>
    <w:rsid w:val="0056489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A76"/>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721"/>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5AB7"/>
    <w:rsid w:val="008A6969"/>
    <w:rsid w:val="008A6E74"/>
    <w:rsid w:val="008A7A59"/>
    <w:rsid w:val="008B05E7"/>
    <w:rsid w:val="008B0EAA"/>
    <w:rsid w:val="008B1B86"/>
    <w:rsid w:val="008B2AD1"/>
    <w:rsid w:val="008B3F2A"/>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030"/>
    <w:rsid w:val="00B74BC8"/>
    <w:rsid w:val="00B762B6"/>
    <w:rsid w:val="00B7671D"/>
    <w:rsid w:val="00B77D83"/>
    <w:rsid w:val="00B80D13"/>
    <w:rsid w:val="00B82BAF"/>
    <w:rsid w:val="00B8425A"/>
    <w:rsid w:val="00B861D7"/>
    <w:rsid w:val="00B87A84"/>
    <w:rsid w:val="00B90527"/>
    <w:rsid w:val="00B90E81"/>
    <w:rsid w:val="00B92AD9"/>
    <w:rsid w:val="00BA27AD"/>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26CEE"/>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327"/>
    <w:rsid w:val="00CF3893"/>
    <w:rsid w:val="00CF3C70"/>
    <w:rsid w:val="00CF503F"/>
    <w:rsid w:val="00CF6BAE"/>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629"/>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356D"/>
    <w:rsid w:val="00E04804"/>
    <w:rsid w:val="00E070A5"/>
    <w:rsid w:val="00E10A03"/>
    <w:rsid w:val="00E12FE7"/>
    <w:rsid w:val="00E136B9"/>
    <w:rsid w:val="00E1668D"/>
    <w:rsid w:val="00E16DB0"/>
    <w:rsid w:val="00E1718E"/>
    <w:rsid w:val="00E213D5"/>
    <w:rsid w:val="00E243A9"/>
    <w:rsid w:val="00E24A6E"/>
    <w:rsid w:val="00E24E48"/>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2CB"/>
    <w:rsid w:val="00F53FA5"/>
    <w:rsid w:val="00F54430"/>
    <w:rsid w:val="00F56023"/>
    <w:rsid w:val="00F573B7"/>
    <w:rsid w:val="00F57B75"/>
    <w:rsid w:val="00F57F63"/>
    <w:rsid w:val="00F602BB"/>
    <w:rsid w:val="00F61569"/>
    <w:rsid w:val="00F61C2E"/>
    <w:rsid w:val="00F62284"/>
    <w:rsid w:val="00F6249D"/>
    <w:rsid w:val="00F63AA0"/>
    <w:rsid w:val="00F63F06"/>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352"/>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3FCC"/>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FCBB95"/>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4B0A6E"/>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4B0A6E"/>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4B0A6E"/>
    <w:rPr>
      <w:sz w:val="16"/>
      <w:szCs w:val="16"/>
    </w:rPr>
  </w:style>
  <w:style w:type="paragraph" w:styleId="Kommentartext">
    <w:name w:val="annotation text"/>
    <w:basedOn w:val="Standard"/>
    <w:link w:val="KommentartextZchn"/>
    <w:uiPriority w:val="99"/>
    <w:unhideWhenUsed/>
    <w:rsid w:val="004B0A6E"/>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4B0A6E"/>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FED3-44AD-409F-A046-C67FCF04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1281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Buttner, Henrike</cp:lastModifiedBy>
  <cp:revision>2</cp:revision>
  <cp:lastPrinted>2020-02-12T08:05:00Z</cp:lastPrinted>
  <dcterms:created xsi:type="dcterms:W3CDTF">2021-12-08T14:20:00Z</dcterms:created>
  <dcterms:modified xsi:type="dcterms:W3CDTF">2021-12-08T14:20:00Z</dcterms:modified>
</cp:coreProperties>
</file>